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C1688" w:rsidRPr="00545573" w:rsidRDefault="004C7D7D">
      <w:pPr>
        <w:spacing w:after="0"/>
        <w:rPr>
          <w:rFonts w:ascii="Arial" w:eastAsia="Arial" w:hAnsi="Arial" w:cs="Arial"/>
          <w:b/>
          <w:sz w:val="36"/>
          <w:szCs w:val="36"/>
        </w:rPr>
      </w:pPr>
      <w:r w:rsidRPr="00545573">
        <w:rPr>
          <w:rFonts w:ascii="Arial" w:eastAsia="Arial" w:hAnsi="Arial" w:cs="Arial"/>
          <w:b/>
          <w:sz w:val="36"/>
          <w:szCs w:val="36"/>
        </w:rPr>
        <w:t>Framework Schedule 3 (Framework Prices)</w:t>
      </w:r>
    </w:p>
    <w:p w14:paraId="00000002" w14:textId="77777777" w:rsidR="00FC1688" w:rsidRPr="00545573" w:rsidRDefault="004C7D7D">
      <w:pPr>
        <w:numPr>
          <w:ilvl w:val="0"/>
          <w:numId w:val="1"/>
        </w:numPr>
        <w:pBdr>
          <w:top w:val="nil"/>
          <w:left w:val="nil"/>
          <w:bottom w:val="nil"/>
          <w:right w:val="nil"/>
          <w:between w:val="nil"/>
        </w:pBdr>
        <w:tabs>
          <w:tab w:val="left" w:pos="142"/>
        </w:tabs>
        <w:spacing w:before="120" w:after="240" w:line="240" w:lineRule="auto"/>
        <w:jc w:val="both"/>
        <w:rPr>
          <w:rFonts w:ascii="Arial" w:hAnsi="Arial" w:cs="Arial"/>
        </w:rPr>
      </w:pPr>
      <w:bookmarkStart w:id="0" w:name="_heading=h.gjdgxs" w:colFirst="0" w:colLast="0"/>
      <w:bookmarkEnd w:id="0"/>
      <w:r w:rsidRPr="00545573">
        <w:rPr>
          <w:rFonts w:ascii="Arial" w:eastAsia="Arial" w:hAnsi="Arial" w:cs="Arial"/>
          <w:b/>
          <w:sz w:val="24"/>
          <w:szCs w:val="24"/>
        </w:rPr>
        <w:t>Not Used</w:t>
      </w:r>
    </w:p>
    <w:p w14:paraId="00000003" w14:textId="77777777" w:rsidR="00FC1688" w:rsidRPr="00545573" w:rsidRDefault="004C7D7D">
      <w:pPr>
        <w:numPr>
          <w:ilvl w:val="0"/>
          <w:numId w:val="1"/>
        </w:numPr>
        <w:pBdr>
          <w:top w:val="nil"/>
          <w:left w:val="nil"/>
          <w:bottom w:val="nil"/>
          <w:right w:val="nil"/>
          <w:between w:val="nil"/>
        </w:pBdr>
        <w:tabs>
          <w:tab w:val="left" w:pos="142"/>
        </w:tabs>
        <w:spacing w:before="120" w:after="240" w:line="240" w:lineRule="auto"/>
        <w:jc w:val="both"/>
        <w:rPr>
          <w:rFonts w:ascii="Arial" w:hAnsi="Arial" w:cs="Arial"/>
        </w:rPr>
      </w:pPr>
      <w:r w:rsidRPr="00545573">
        <w:rPr>
          <w:rFonts w:ascii="Arial" w:eastAsia="Arial" w:hAnsi="Arial" w:cs="Arial"/>
          <w:b/>
          <w:color w:val="000000"/>
          <w:sz w:val="24"/>
          <w:szCs w:val="24"/>
        </w:rPr>
        <w:t xml:space="preserve">How Framework Prices are </w:t>
      </w:r>
      <w:r w:rsidRPr="00545573">
        <w:rPr>
          <w:rFonts w:ascii="Arial" w:eastAsia="Arial" w:hAnsi="Arial" w:cs="Arial"/>
          <w:b/>
          <w:sz w:val="24"/>
          <w:szCs w:val="24"/>
        </w:rPr>
        <w:t>u</w:t>
      </w:r>
      <w:r w:rsidRPr="00545573">
        <w:rPr>
          <w:rFonts w:ascii="Arial" w:eastAsia="Arial" w:hAnsi="Arial" w:cs="Arial"/>
          <w:b/>
          <w:color w:val="000000"/>
          <w:sz w:val="24"/>
          <w:szCs w:val="24"/>
        </w:rPr>
        <w:t xml:space="preserve">sed to </w:t>
      </w:r>
      <w:r w:rsidRPr="00545573">
        <w:rPr>
          <w:rFonts w:ascii="Arial" w:eastAsia="Arial" w:hAnsi="Arial" w:cs="Arial"/>
          <w:b/>
          <w:sz w:val="24"/>
          <w:szCs w:val="24"/>
        </w:rPr>
        <w:t>c</w:t>
      </w:r>
      <w:r w:rsidRPr="00545573">
        <w:rPr>
          <w:rFonts w:ascii="Arial" w:eastAsia="Arial" w:hAnsi="Arial" w:cs="Arial"/>
          <w:b/>
          <w:color w:val="000000"/>
          <w:sz w:val="24"/>
          <w:szCs w:val="24"/>
        </w:rPr>
        <w:t>alculate Call-Off Charges</w:t>
      </w:r>
    </w:p>
    <w:p w14:paraId="00000004"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545573">
        <w:rPr>
          <w:rFonts w:ascii="Arial" w:eastAsia="Arial" w:hAnsi="Arial" w:cs="Arial"/>
          <w:color w:val="000000"/>
          <w:sz w:val="24"/>
          <w:szCs w:val="24"/>
        </w:rPr>
        <w:t xml:space="preserve">The Framework Prices: </w:t>
      </w:r>
    </w:p>
    <w:p w14:paraId="00000005" w14:textId="3754FDC3" w:rsidR="00FC1688" w:rsidRPr="00545573" w:rsidRDefault="004C7D7D">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 w:name="_heading=h.3znysh7" w:colFirst="0" w:colLast="0"/>
      <w:bookmarkEnd w:id="1"/>
      <w:r w:rsidRPr="00545573">
        <w:rPr>
          <w:rFonts w:ascii="Arial" w:eastAsia="Arial" w:hAnsi="Arial" w:cs="Arial"/>
          <w:color w:val="000000"/>
          <w:sz w:val="24"/>
          <w:szCs w:val="24"/>
        </w:rPr>
        <w:t xml:space="preserve">will be used as the basis for the charges (and are maximums that the Supplier may charge for a Standard Service Requirement) under each Call Off Contract </w:t>
      </w:r>
      <w:r w:rsidR="00545573" w:rsidRPr="00545573">
        <w:rPr>
          <w:rFonts w:ascii="Arial" w:eastAsia="Arial" w:hAnsi="Arial" w:cs="Arial"/>
          <w:color w:val="000000"/>
          <w:sz w:val="24"/>
          <w:szCs w:val="24"/>
        </w:rPr>
        <w:t>including;</w:t>
      </w:r>
    </w:p>
    <w:p w14:paraId="00000006" w14:textId="77777777" w:rsidR="00FC1688" w:rsidRPr="00545573" w:rsidRDefault="004C7D7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545573">
        <w:rPr>
          <w:rFonts w:ascii="Arial" w:eastAsia="Arial" w:hAnsi="Arial" w:cs="Arial"/>
          <w:color w:val="000000"/>
          <w:sz w:val="24"/>
          <w:szCs w:val="24"/>
        </w:rPr>
        <w:t xml:space="preserve">Standard Service </w:t>
      </w:r>
      <w:r w:rsidRPr="00545573">
        <w:rPr>
          <w:rFonts w:ascii="Arial" w:eastAsia="Arial" w:hAnsi="Arial" w:cs="Arial"/>
          <w:sz w:val="24"/>
          <w:szCs w:val="24"/>
        </w:rPr>
        <w:t>rate per Unit of Measure</w:t>
      </w:r>
    </w:p>
    <w:p w14:paraId="00000007" w14:textId="77777777" w:rsidR="00FC1688" w:rsidRPr="00545573" w:rsidRDefault="004C7D7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545573">
        <w:rPr>
          <w:rFonts w:ascii="Arial" w:eastAsia="Arial" w:hAnsi="Arial" w:cs="Arial"/>
          <w:color w:val="000000"/>
          <w:sz w:val="24"/>
          <w:szCs w:val="24"/>
        </w:rPr>
        <w:t>Corporate Overhead;</w:t>
      </w:r>
    </w:p>
    <w:p w14:paraId="00000008" w14:textId="77777777" w:rsidR="00FC1688" w:rsidRPr="00545573" w:rsidRDefault="004C7D7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545573">
        <w:rPr>
          <w:rFonts w:ascii="Arial" w:eastAsia="Arial" w:hAnsi="Arial" w:cs="Arial"/>
          <w:color w:val="000000"/>
          <w:sz w:val="24"/>
          <w:szCs w:val="24"/>
        </w:rPr>
        <w:t>Management Overhead;</w:t>
      </w:r>
    </w:p>
    <w:p w14:paraId="00000009" w14:textId="77777777" w:rsidR="00FC1688" w:rsidRPr="00545573" w:rsidRDefault="004C7D7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545573">
        <w:rPr>
          <w:rFonts w:ascii="Arial" w:eastAsia="Arial" w:hAnsi="Arial" w:cs="Arial"/>
          <w:color w:val="000000"/>
          <w:sz w:val="24"/>
          <w:szCs w:val="24"/>
        </w:rPr>
        <w:t>Supplier Profit;</w:t>
      </w:r>
    </w:p>
    <w:p w14:paraId="0000000A" w14:textId="77777777" w:rsidR="00FC1688" w:rsidRPr="00545573" w:rsidRDefault="004C7D7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545573">
        <w:rPr>
          <w:rFonts w:ascii="Arial" w:eastAsia="Arial" w:hAnsi="Arial" w:cs="Arial"/>
          <w:color w:val="000000"/>
          <w:sz w:val="24"/>
          <w:szCs w:val="24"/>
        </w:rPr>
        <w:t xml:space="preserve">London location percentage variance; </w:t>
      </w:r>
    </w:p>
    <w:p w14:paraId="0000000B" w14:textId="77777777" w:rsidR="00FC1688" w:rsidRPr="00545573" w:rsidRDefault="004C7D7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545573">
        <w:rPr>
          <w:rFonts w:ascii="Arial" w:eastAsia="Arial" w:hAnsi="Arial" w:cs="Arial"/>
          <w:color w:val="000000"/>
          <w:sz w:val="24"/>
          <w:szCs w:val="24"/>
        </w:rPr>
        <w:t xml:space="preserve">Cleaning consumables per </w:t>
      </w:r>
      <w:r w:rsidRPr="00545573">
        <w:rPr>
          <w:rFonts w:ascii="Arial" w:eastAsia="Arial" w:hAnsi="Arial" w:cs="Arial"/>
          <w:sz w:val="24"/>
          <w:szCs w:val="24"/>
        </w:rPr>
        <w:t>Building Occupants</w:t>
      </w:r>
      <w:r w:rsidRPr="00545573">
        <w:rPr>
          <w:rFonts w:ascii="Arial" w:eastAsia="Arial" w:hAnsi="Arial" w:cs="Arial"/>
          <w:color w:val="000000"/>
          <w:sz w:val="24"/>
          <w:szCs w:val="24"/>
        </w:rPr>
        <w:t xml:space="preserve">; </w:t>
      </w:r>
    </w:p>
    <w:p w14:paraId="0000000C" w14:textId="77777777" w:rsidR="00FC1688" w:rsidRPr="00545573" w:rsidRDefault="004C7D7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545573">
        <w:rPr>
          <w:rFonts w:ascii="Arial" w:eastAsia="Arial" w:hAnsi="Arial" w:cs="Arial"/>
          <w:color w:val="000000"/>
          <w:sz w:val="24"/>
          <w:szCs w:val="24"/>
        </w:rPr>
        <w:t xml:space="preserve">Billable works management uplifts; and </w:t>
      </w:r>
    </w:p>
    <w:p w14:paraId="0000000D" w14:textId="77777777" w:rsidR="00FC1688" w:rsidRPr="00545573" w:rsidRDefault="004C7D7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545573">
        <w:rPr>
          <w:rFonts w:ascii="Arial" w:eastAsia="Arial" w:hAnsi="Arial" w:cs="Arial"/>
          <w:color w:val="000000"/>
          <w:sz w:val="24"/>
          <w:szCs w:val="24"/>
        </w:rPr>
        <w:t xml:space="preserve">Project uplifts; </w:t>
      </w:r>
    </w:p>
    <w:p w14:paraId="0000000E" w14:textId="77777777" w:rsidR="00FC1688" w:rsidRPr="00545573" w:rsidRDefault="004C7D7D">
      <w:pPr>
        <w:pBdr>
          <w:top w:val="nil"/>
          <w:left w:val="nil"/>
          <w:bottom w:val="nil"/>
          <w:right w:val="nil"/>
          <w:between w:val="nil"/>
        </w:pBdr>
        <w:tabs>
          <w:tab w:val="left" w:pos="1985"/>
          <w:tab w:val="left" w:pos="2127"/>
          <w:tab w:val="left" w:pos="1440"/>
        </w:tabs>
        <w:spacing w:before="120" w:after="120" w:line="240" w:lineRule="auto"/>
        <w:ind w:left="1980"/>
        <w:rPr>
          <w:rFonts w:ascii="Arial" w:eastAsia="Arial" w:hAnsi="Arial" w:cs="Arial"/>
          <w:color w:val="000000"/>
          <w:sz w:val="24"/>
          <w:szCs w:val="24"/>
        </w:rPr>
      </w:pPr>
      <w:r w:rsidRPr="00545573">
        <w:rPr>
          <w:rFonts w:ascii="Arial" w:eastAsia="Arial" w:hAnsi="Arial" w:cs="Arial"/>
          <w:color w:val="000000"/>
          <w:sz w:val="24"/>
          <w:szCs w:val="24"/>
        </w:rPr>
        <w:t xml:space="preserve"> and</w:t>
      </w:r>
    </w:p>
    <w:p w14:paraId="0000000F"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cannot be increased except as in accordance with this Schedule.</w:t>
      </w:r>
    </w:p>
    <w:p w14:paraId="00000010"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 xml:space="preserve">Framework Prices are permitted to exceed Standard Service </w:t>
      </w:r>
      <w:r w:rsidRPr="00545573">
        <w:rPr>
          <w:rFonts w:ascii="Arial" w:eastAsia="Arial" w:hAnsi="Arial" w:cs="Arial"/>
          <w:sz w:val="24"/>
          <w:szCs w:val="24"/>
        </w:rPr>
        <w:t>p</w:t>
      </w:r>
      <w:r w:rsidRPr="00545573">
        <w:rPr>
          <w:rFonts w:ascii="Arial" w:eastAsia="Arial" w:hAnsi="Arial" w:cs="Arial"/>
          <w:color w:val="000000"/>
          <w:sz w:val="24"/>
          <w:szCs w:val="24"/>
        </w:rPr>
        <w:t xml:space="preserve">ricing for non-standard requirements and/or at the discretion of the Buyer, however the pricing variables detailed in </w:t>
      </w:r>
      <w:r w:rsidRPr="00545573">
        <w:rPr>
          <w:rFonts w:ascii="Arial" w:eastAsia="Arial" w:hAnsi="Arial" w:cs="Arial"/>
          <w:sz w:val="24"/>
          <w:szCs w:val="24"/>
        </w:rPr>
        <w:t>2</w:t>
      </w:r>
      <w:r w:rsidRPr="00545573">
        <w:rPr>
          <w:rFonts w:ascii="Arial" w:eastAsia="Arial" w:hAnsi="Arial" w:cs="Arial"/>
          <w:color w:val="000000"/>
          <w:sz w:val="24"/>
          <w:szCs w:val="24"/>
        </w:rPr>
        <w:t>.1.1 (b) to (</w:t>
      </w:r>
      <w:r w:rsidRPr="00545573">
        <w:rPr>
          <w:rFonts w:ascii="Arial" w:eastAsia="Arial" w:hAnsi="Arial" w:cs="Arial"/>
          <w:sz w:val="24"/>
          <w:szCs w:val="24"/>
        </w:rPr>
        <w:t>h</w:t>
      </w:r>
      <w:r w:rsidRPr="00545573">
        <w:rPr>
          <w:rFonts w:ascii="Arial" w:eastAsia="Arial" w:hAnsi="Arial" w:cs="Arial"/>
          <w:color w:val="000000"/>
          <w:sz w:val="24"/>
          <w:szCs w:val="24"/>
        </w:rPr>
        <w:t>) will remain as maximum percentages</w:t>
      </w:r>
    </w:p>
    <w:p w14:paraId="00000011"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545573">
        <w:rPr>
          <w:rFonts w:ascii="Arial" w:eastAsia="Arial" w:hAnsi="Arial" w:cs="Arial"/>
          <w:color w:val="000000"/>
          <w:sz w:val="24"/>
          <w:szCs w:val="24"/>
        </w:rPr>
        <w:t>The Charges:</w:t>
      </w:r>
    </w:p>
    <w:p w14:paraId="00000012"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shall be calcu</w:t>
      </w:r>
      <w:r w:rsidRPr="00545573">
        <w:rPr>
          <w:rFonts w:ascii="Arial" w:eastAsia="Arial" w:hAnsi="Arial" w:cs="Arial"/>
          <w:color w:val="000000"/>
          <w:sz w:val="24"/>
          <w:szCs w:val="24"/>
        </w:rPr>
        <w:t xml:space="preserve">lated in accordance with the terms of the Call Off Contract and in particular in accordance with the terms of the Order Form; </w:t>
      </w:r>
    </w:p>
    <w:p w14:paraId="00000013"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cannot be increased except as specifically permitted by the Call Off Contract and in particular shall only be subject to Indexati</w:t>
      </w:r>
      <w:r w:rsidRPr="00545573">
        <w:rPr>
          <w:rFonts w:ascii="Arial" w:eastAsia="Arial" w:hAnsi="Arial" w:cs="Arial"/>
          <w:color w:val="000000"/>
          <w:sz w:val="24"/>
          <w:szCs w:val="24"/>
        </w:rPr>
        <w:t>on where specifically stated in the Order Form; and</w:t>
      </w:r>
    </w:p>
    <w:p w14:paraId="00000014"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shall not be impacted by any change to the Framework Prices.</w:t>
      </w:r>
    </w:p>
    <w:p w14:paraId="00000015"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513i4rc6r71m" w:colFirst="0" w:colLast="0"/>
      <w:bookmarkEnd w:id="2"/>
      <w:r w:rsidRPr="00545573">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0000016" w14:textId="77777777" w:rsidR="00FC1688" w:rsidRPr="00545573" w:rsidRDefault="004C7D7D">
      <w:pPr>
        <w:numPr>
          <w:ilvl w:val="0"/>
          <w:numId w:val="1"/>
        </w:numPr>
        <w:pBdr>
          <w:top w:val="nil"/>
          <w:left w:val="nil"/>
          <w:bottom w:val="nil"/>
          <w:right w:val="nil"/>
          <w:between w:val="nil"/>
        </w:pBdr>
        <w:tabs>
          <w:tab w:val="left" w:pos="142"/>
        </w:tabs>
        <w:spacing w:before="120" w:after="240" w:line="240" w:lineRule="auto"/>
        <w:jc w:val="both"/>
        <w:rPr>
          <w:rFonts w:ascii="Arial" w:hAnsi="Arial" w:cs="Arial"/>
        </w:rPr>
      </w:pPr>
      <w:r w:rsidRPr="00545573">
        <w:rPr>
          <w:rFonts w:ascii="Arial" w:eastAsia="Arial" w:hAnsi="Arial" w:cs="Arial"/>
          <w:b/>
          <w:color w:val="000000"/>
          <w:sz w:val="24"/>
          <w:szCs w:val="24"/>
        </w:rPr>
        <w:t>How Framework Prices are calculated</w:t>
      </w:r>
    </w:p>
    <w:p w14:paraId="00000017"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545573">
        <w:rPr>
          <w:rFonts w:ascii="Arial" w:eastAsia="Arial" w:hAnsi="Arial" w:cs="Arial"/>
          <w:color w:val="000000"/>
          <w:sz w:val="24"/>
          <w:szCs w:val="24"/>
        </w:rPr>
        <w:t xml:space="preserve">The pricing mechanisms and prices set out in Annex 1 shall be available </w:t>
      </w:r>
      <w:bookmarkStart w:id="3" w:name="_GoBack"/>
      <w:bookmarkEnd w:id="3"/>
      <w:r w:rsidRPr="00545573">
        <w:rPr>
          <w:rFonts w:ascii="Arial" w:eastAsia="Arial" w:hAnsi="Arial" w:cs="Arial"/>
          <w:color w:val="000000"/>
          <w:sz w:val="24"/>
          <w:szCs w:val="24"/>
        </w:rPr>
        <w:t>for use in calculation of Framework Prices in Call Off Contracts.</w:t>
      </w:r>
    </w:p>
    <w:p w14:paraId="00000018" w14:textId="77777777" w:rsidR="00FC1688" w:rsidRPr="00545573" w:rsidRDefault="004C7D7D">
      <w:pPr>
        <w:numPr>
          <w:ilvl w:val="0"/>
          <w:numId w:val="1"/>
        </w:numPr>
        <w:pBdr>
          <w:top w:val="nil"/>
          <w:left w:val="nil"/>
          <w:bottom w:val="nil"/>
          <w:right w:val="nil"/>
          <w:between w:val="nil"/>
        </w:pBdr>
        <w:tabs>
          <w:tab w:val="left" w:pos="142"/>
        </w:tabs>
        <w:spacing w:before="120" w:after="240" w:line="240" w:lineRule="auto"/>
        <w:jc w:val="both"/>
        <w:rPr>
          <w:rFonts w:ascii="Arial" w:hAnsi="Arial" w:cs="Arial"/>
        </w:rPr>
      </w:pPr>
      <w:bookmarkStart w:id="4" w:name="_heading=h.1fob9te" w:colFirst="0" w:colLast="0"/>
      <w:bookmarkEnd w:id="4"/>
      <w:r w:rsidRPr="00545573">
        <w:rPr>
          <w:rFonts w:ascii="Arial" w:eastAsia="Arial" w:hAnsi="Arial" w:cs="Arial"/>
          <w:b/>
          <w:sz w:val="24"/>
          <w:szCs w:val="24"/>
        </w:rPr>
        <w:lastRenderedPageBreak/>
        <w:t>Not Used</w:t>
      </w:r>
    </w:p>
    <w:p w14:paraId="00000019" w14:textId="77777777" w:rsidR="00FC1688" w:rsidRPr="00545573" w:rsidRDefault="004C7D7D">
      <w:pPr>
        <w:numPr>
          <w:ilvl w:val="0"/>
          <w:numId w:val="1"/>
        </w:numPr>
        <w:pBdr>
          <w:top w:val="nil"/>
          <w:left w:val="nil"/>
          <w:bottom w:val="nil"/>
          <w:right w:val="nil"/>
          <w:between w:val="nil"/>
        </w:pBdr>
        <w:tabs>
          <w:tab w:val="left" w:pos="142"/>
        </w:tabs>
        <w:spacing w:before="120" w:after="240" w:line="240" w:lineRule="auto"/>
        <w:jc w:val="both"/>
        <w:rPr>
          <w:rFonts w:ascii="Arial" w:hAnsi="Arial" w:cs="Arial"/>
        </w:rPr>
      </w:pPr>
      <w:r w:rsidRPr="00545573">
        <w:rPr>
          <w:rFonts w:ascii="Arial" w:eastAsia="Arial" w:hAnsi="Arial" w:cs="Arial"/>
          <w:b/>
          <w:color w:val="000000"/>
          <w:sz w:val="24"/>
          <w:szCs w:val="24"/>
        </w:rPr>
        <w:t>When the Supplier can ask to change the Framework Prices</w:t>
      </w:r>
    </w:p>
    <w:p w14:paraId="0000001A"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poihfrdhdh2h" w:colFirst="0" w:colLast="0"/>
      <w:bookmarkEnd w:id="5"/>
      <w:r w:rsidRPr="00545573">
        <w:rPr>
          <w:rFonts w:ascii="Arial" w:eastAsia="Arial" w:hAnsi="Arial" w:cs="Arial"/>
          <w:color w:val="000000"/>
          <w:sz w:val="24"/>
          <w:szCs w:val="24"/>
        </w:rPr>
        <w:t>The Framework Pr</w:t>
      </w:r>
      <w:r w:rsidRPr="00545573">
        <w:rPr>
          <w:rFonts w:ascii="Arial" w:eastAsia="Arial" w:hAnsi="Arial" w:cs="Arial"/>
          <w:color w:val="000000"/>
          <w:sz w:val="24"/>
          <w:szCs w:val="24"/>
        </w:rPr>
        <w:t>ices will be fixed for th</w:t>
      </w:r>
      <w:r w:rsidRPr="00545573">
        <w:rPr>
          <w:rFonts w:ascii="Arial" w:eastAsia="Arial" w:hAnsi="Arial" w:cs="Arial"/>
          <w:sz w:val="24"/>
          <w:szCs w:val="24"/>
        </w:rPr>
        <w:t xml:space="preserve">e first </w:t>
      </w:r>
      <w:r w:rsidRPr="00545573">
        <w:rPr>
          <w:rFonts w:ascii="Arial" w:eastAsia="Arial" w:hAnsi="Arial" w:cs="Arial"/>
          <w:b/>
          <w:sz w:val="24"/>
          <w:szCs w:val="24"/>
        </w:rPr>
        <w:t>2</w:t>
      </w:r>
      <w:r w:rsidRPr="00545573">
        <w:rPr>
          <w:rFonts w:ascii="Arial" w:eastAsia="Arial" w:hAnsi="Arial" w:cs="Arial"/>
          <w:sz w:val="24"/>
          <w:szCs w:val="24"/>
        </w:rPr>
        <w:t xml:space="preserve"> years follo</w:t>
      </w:r>
      <w:r w:rsidRPr="00545573">
        <w:rPr>
          <w:rFonts w:ascii="Arial" w:eastAsia="Arial" w:hAnsi="Arial" w:cs="Arial"/>
          <w:color w:val="000000"/>
          <w:sz w:val="24"/>
          <w:szCs w:val="24"/>
        </w:rPr>
        <w:t>wing the Start Date (the date of expiry of such period is a "</w:t>
      </w:r>
      <w:r w:rsidRPr="00545573">
        <w:rPr>
          <w:rFonts w:ascii="Arial" w:eastAsia="Arial" w:hAnsi="Arial" w:cs="Arial"/>
          <w:b/>
          <w:color w:val="000000"/>
          <w:sz w:val="24"/>
          <w:szCs w:val="24"/>
        </w:rPr>
        <w:t>Review Date</w:t>
      </w:r>
      <w:r w:rsidRPr="00545573">
        <w:rPr>
          <w:rFonts w:ascii="Arial" w:eastAsia="Arial" w:hAnsi="Arial" w:cs="Arial"/>
          <w:color w:val="000000"/>
          <w:sz w:val="24"/>
          <w:szCs w:val="24"/>
        </w:rPr>
        <w:t>").  After this Framework Prices can only be adjusted on each following yearly anniversary (the date of each such anniversary is also a "</w:t>
      </w:r>
      <w:r w:rsidRPr="00545573">
        <w:rPr>
          <w:rFonts w:ascii="Arial" w:eastAsia="Arial" w:hAnsi="Arial" w:cs="Arial"/>
          <w:b/>
          <w:color w:val="000000"/>
          <w:sz w:val="24"/>
          <w:szCs w:val="24"/>
        </w:rPr>
        <w:t>R</w:t>
      </w:r>
      <w:r w:rsidRPr="00545573">
        <w:rPr>
          <w:rFonts w:ascii="Arial" w:eastAsia="Arial" w:hAnsi="Arial" w:cs="Arial"/>
          <w:b/>
          <w:color w:val="000000"/>
          <w:sz w:val="24"/>
          <w:szCs w:val="24"/>
        </w:rPr>
        <w:t>eview Date</w:t>
      </w:r>
      <w:r w:rsidRPr="00545573">
        <w:rPr>
          <w:rFonts w:ascii="Arial" w:eastAsia="Arial" w:hAnsi="Arial" w:cs="Arial"/>
          <w:color w:val="000000"/>
          <w:sz w:val="24"/>
          <w:szCs w:val="24"/>
        </w:rPr>
        <w:t>").</w:t>
      </w:r>
    </w:p>
    <w:p w14:paraId="0000001B"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545573">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w:t>
      </w:r>
      <w:r w:rsidRPr="00545573">
        <w:rPr>
          <w:rFonts w:ascii="Arial" w:eastAsia="Arial" w:hAnsi="Arial" w:cs="Arial"/>
          <w:color w:val="000000"/>
          <w:sz w:val="24"/>
          <w:szCs w:val="24"/>
        </w:rPr>
        <w:t xml:space="preserve"> next Review Date.</w:t>
      </w:r>
    </w:p>
    <w:p w14:paraId="0000001C"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545573">
        <w:rPr>
          <w:rFonts w:ascii="Arial" w:eastAsia="Arial" w:hAnsi="Arial" w:cs="Arial"/>
          <w:color w:val="000000"/>
          <w:sz w:val="24"/>
          <w:szCs w:val="24"/>
        </w:rPr>
        <w:t>Any notice requesting an increase shall include:</w:t>
      </w:r>
    </w:p>
    <w:p w14:paraId="0000001D"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a list of the Framework Prices to be reviewed;</w:t>
      </w:r>
    </w:p>
    <w:p w14:paraId="0000001E"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for each Framework Price under review, written evidence of the justification for the requested increase including:</w:t>
      </w:r>
    </w:p>
    <w:p w14:paraId="0000001F" w14:textId="77777777" w:rsidR="00FC1688" w:rsidRPr="00545573" w:rsidRDefault="004C7D7D">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545573">
        <w:rPr>
          <w:rFonts w:ascii="Arial" w:eastAsia="Arial" w:hAnsi="Arial" w:cs="Arial"/>
          <w:color w:val="000000"/>
          <w:sz w:val="24"/>
          <w:szCs w:val="24"/>
        </w:rPr>
        <w:t xml:space="preserve">a breakdown of the cost components that comprise the relevant Framework Price; </w:t>
      </w:r>
    </w:p>
    <w:p w14:paraId="00000020" w14:textId="77777777" w:rsidR="00FC1688" w:rsidRPr="00545573" w:rsidRDefault="004C7D7D">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sidRPr="00545573">
        <w:rPr>
          <w:rFonts w:ascii="Arial" w:eastAsia="Arial" w:hAnsi="Arial" w:cs="Arial"/>
          <w:sz w:val="24"/>
          <w:szCs w:val="24"/>
          <w:highlight w:val="white"/>
        </w:rPr>
        <w:t>details of the movement in the different identified cost components of the relevant Framework Price;</w:t>
      </w:r>
    </w:p>
    <w:p w14:paraId="00000021" w14:textId="77777777" w:rsidR="00FC1688" w:rsidRPr="00545573" w:rsidRDefault="004C7D7D">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sidRPr="00545573">
        <w:rPr>
          <w:rFonts w:ascii="Arial" w:eastAsia="Arial" w:hAnsi="Arial" w:cs="Arial"/>
          <w:sz w:val="24"/>
          <w:szCs w:val="24"/>
          <w:highlight w:val="white"/>
        </w:rPr>
        <w:t>reasons for the movement in the different identified cost components of the</w:t>
      </w:r>
      <w:r w:rsidRPr="00545573">
        <w:rPr>
          <w:rFonts w:ascii="Arial" w:eastAsia="Arial" w:hAnsi="Arial" w:cs="Arial"/>
          <w:sz w:val="24"/>
          <w:szCs w:val="24"/>
          <w:highlight w:val="white"/>
        </w:rPr>
        <w:t xml:space="preserve"> relevant Framework Price;</w:t>
      </w:r>
    </w:p>
    <w:p w14:paraId="00000022" w14:textId="77777777" w:rsidR="00FC1688" w:rsidRPr="00545573" w:rsidRDefault="004C7D7D">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sidRPr="00545573">
        <w:rPr>
          <w:rFonts w:ascii="Arial" w:eastAsia="Arial" w:hAnsi="Arial" w:cs="Arial"/>
          <w:sz w:val="24"/>
          <w:szCs w:val="24"/>
          <w:highlight w:val="white"/>
        </w:rPr>
        <w:t>evidence that the Supplier has attempted to mitigate against the increase in the relevant cost components; and</w:t>
      </w:r>
    </w:p>
    <w:p w14:paraId="00000023" w14:textId="77777777" w:rsidR="00FC1688" w:rsidRPr="00545573" w:rsidRDefault="004C7D7D">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sidRPr="00545573">
        <w:rPr>
          <w:rFonts w:ascii="Arial" w:eastAsia="Arial" w:hAnsi="Arial" w:cs="Arial"/>
          <w:sz w:val="24"/>
          <w:szCs w:val="24"/>
          <w:highlight w:val="white"/>
        </w:rPr>
        <w:t>evidence that the Supplier’s profit component of the relevant Framework Price is no greater than that applying to Fram</w:t>
      </w:r>
      <w:r w:rsidRPr="00545573">
        <w:rPr>
          <w:rFonts w:ascii="Arial" w:eastAsia="Arial" w:hAnsi="Arial" w:cs="Arial"/>
          <w:sz w:val="24"/>
          <w:szCs w:val="24"/>
          <w:highlight w:val="white"/>
        </w:rPr>
        <w:t>ework Prices using the same pricing mechanism as at the Contract Commencement Date.</w:t>
      </w:r>
    </w:p>
    <w:p w14:paraId="00000024"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sidRPr="00545573">
        <w:rPr>
          <w:rFonts w:ascii="Arial" w:eastAsia="Arial" w:hAnsi="Arial" w:cs="Arial"/>
          <w:sz w:val="24"/>
          <w:szCs w:val="24"/>
        </w:rPr>
        <w:t>CCS shall consider each request for a price increase to reflect the effects of inflation and National Living Wage increases during the Framework Term.  CCS may grant Approval to an increase at its sole discretion.</w:t>
      </w:r>
    </w:p>
    <w:p w14:paraId="00000025"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sidRPr="00545573">
        <w:rPr>
          <w:rFonts w:ascii="Arial" w:eastAsia="Arial" w:hAnsi="Arial" w:cs="Arial"/>
          <w:sz w:val="24"/>
          <w:szCs w:val="24"/>
        </w:rPr>
        <w:t>The price increase request shall be determ</w:t>
      </w:r>
      <w:r w:rsidRPr="00545573">
        <w:rPr>
          <w:rFonts w:ascii="Arial" w:eastAsia="Arial" w:hAnsi="Arial" w:cs="Arial"/>
          <w:sz w:val="24"/>
          <w:szCs w:val="24"/>
        </w:rPr>
        <w:t xml:space="preserve">ined by applying the following formula: </w:t>
      </w:r>
    </w:p>
    <w:p w14:paraId="00000026" w14:textId="77777777" w:rsidR="00FC1688" w:rsidRPr="00545573" w:rsidRDefault="004C7D7D">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sidRPr="00545573">
        <w:rPr>
          <w:rFonts w:ascii="Arial" w:eastAsia="Arial" w:hAnsi="Arial" w:cs="Arial"/>
          <w:sz w:val="24"/>
          <w:szCs w:val="24"/>
        </w:rPr>
        <w:t xml:space="preserve">           NC = EC * Z where: </w:t>
      </w:r>
    </w:p>
    <w:p w14:paraId="00000027" w14:textId="77777777" w:rsidR="00FC1688" w:rsidRPr="00545573" w:rsidRDefault="004C7D7D">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sidRPr="00545573">
        <w:rPr>
          <w:rFonts w:ascii="Arial" w:eastAsia="Arial" w:hAnsi="Arial" w:cs="Arial"/>
          <w:sz w:val="24"/>
          <w:szCs w:val="24"/>
        </w:rPr>
        <w:tab/>
      </w:r>
      <w:r w:rsidRPr="00545573">
        <w:rPr>
          <w:rFonts w:ascii="Arial" w:eastAsia="Arial" w:hAnsi="Arial" w:cs="Arial"/>
          <w:sz w:val="24"/>
          <w:szCs w:val="24"/>
        </w:rPr>
        <w:tab/>
      </w:r>
      <w:r w:rsidRPr="00545573">
        <w:rPr>
          <w:rFonts w:ascii="Arial" w:eastAsia="Arial" w:hAnsi="Arial" w:cs="Arial"/>
          <w:sz w:val="24"/>
          <w:szCs w:val="24"/>
        </w:rPr>
        <w:tab/>
        <w:t>NC</w:t>
      </w:r>
      <w:r w:rsidRPr="00545573">
        <w:rPr>
          <w:rFonts w:ascii="Arial" w:eastAsia="Arial" w:hAnsi="Arial" w:cs="Arial"/>
          <w:sz w:val="24"/>
          <w:szCs w:val="24"/>
        </w:rPr>
        <w:tab/>
        <w:t xml:space="preserve"> is the New Charge; </w:t>
      </w:r>
    </w:p>
    <w:p w14:paraId="00000028" w14:textId="77777777" w:rsidR="00FC1688" w:rsidRPr="00545573" w:rsidRDefault="004C7D7D">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sidRPr="00545573">
        <w:rPr>
          <w:rFonts w:ascii="Arial" w:eastAsia="Arial" w:hAnsi="Arial" w:cs="Arial"/>
          <w:sz w:val="24"/>
          <w:szCs w:val="24"/>
        </w:rPr>
        <w:tab/>
      </w:r>
      <w:r w:rsidRPr="00545573">
        <w:rPr>
          <w:rFonts w:ascii="Arial" w:eastAsia="Arial" w:hAnsi="Arial" w:cs="Arial"/>
          <w:sz w:val="24"/>
          <w:szCs w:val="24"/>
        </w:rPr>
        <w:tab/>
      </w:r>
      <w:r w:rsidRPr="00545573">
        <w:rPr>
          <w:rFonts w:ascii="Arial" w:eastAsia="Arial" w:hAnsi="Arial" w:cs="Arial"/>
          <w:sz w:val="24"/>
          <w:szCs w:val="24"/>
        </w:rPr>
        <w:tab/>
        <w:t>EC</w:t>
      </w:r>
      <w:r w:rsidRPr="00545573">
        <w:rPr>
          <w:rFonts w:ascii="Arial" w:eastAsia="Arial" w:hAnsi="Arial" w:cs="Arial"/>
          <w:sz w:val="24"/>
          <w:szCs w:val="24"/>
        </w:rPr>
        <w:tab/>
        <w:t xml:space="preserve"> is the Existing Charge; and </w:t>
      </w:r>
    </w:p>
    <w:p w14:paraId="00000029" w14:textId="77777777" w:rsidR="00FC1688" w:rsidRPr="00545573" w:rsidRDefault="004C7D7D">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sidRPr="00545573">
        <w:rPr>
          <w:rFonts w:ascii="Arial" w:eastAsia="Arial" w:hAnsi="Arial" w:cs="Arial"/>
          <w:sz w:val="24"/>
          <w:szCs w:val="24"/>
        </w:rPr>
        <w:tab/>
      </w:r>
      <w:r w:rsidRPr="00545573">
        <w:rPr>
          <w:rFonts w:ascii="Arial" w:eastAsia="Arial" w:hAnsi="Arial" w:cs="Arial"/>
          <w:sz w:val="24"/>
          <w:szCs w:val="24"/>
        </w:rPr>
        <w:tab/>
      </w:r>
      <w:r w:rsidRPr="00545573">
        <w:rPr>
          <w:rFonts w:ascii="Arial" w:eastAsia="Arial" w:hAnsi="Arial" w:cs="Arial"/>
          <w:sz w:val="24"/>
          <w:szCs w:val="24"/>
        </w:rPr>
        <w:tab/>
        <w:t>Z</w:t>
      </w:r>
      <w:r w:rsidRPr="00545573">
        <w:rPr>
          <w:rFonts w:ascii="Arial" w:eastAsia="Arial" w:hAnsi="Arial" w:cs="Arial"/>
          <w:sz w:val="24"/>
          <w:szCs w:val="24"/>
        </w:rPr>
        <w:tab/>
        <w:t xml:space="preserve"> is 1 + (“</w:t>
      </w:r>
      <w:r w:rsidRPr="00545573">
        <w:rPr>
          <w:rFonts w:ascii="Arial" w:eastAsia="Arial" w:hAnsi="Arial" w:cs="Arial"/>
          <w:b/>
          <w:sz w:val="24"/>
          <w:szCs w:val="24"/>
        </w:rPr>
        <w:t>Average Annual % Change in CPI</w:t>
      </w:r>
      <w:r w:rsidRPr="00545573">
        <w:rPr>
          <w:rFonts w:ascii="Arial" w:hAnsi="Arial" w:cs="Arial"/>
        </w:rPr>
        <w:t xml:space="preserve">     </w:t>
      </w:r>
      <w:r w:rsidRPr="00545573">
        <w:rPr>
          <w:rFonts w:ascii="Arial" w:eastAsia="Arial" w:hAnsi="Arial" w:cs="Arial"/>
          <w:b/>
          <w:sz w:val="24"/>
          <w:szCs w:val="24"/>
        </w:rPr>
        <w:t>”</w:t>
      </w:r>
      <w:r w:rsidRPr="00545573">
        <w:rPr>
          <w:rFonts w:ascii="Arial" w:eastAsia="Arial" w:hAnsi="Arial" w:cs="Arial"/>
          <w:sz w:val="24"/>
          <w:szCs w:val="24"/>
        </w:rPr>
        <w:t>) / 100</w:t>
      </w:r>
    </w:p>
    <w:p w14:paraId="0000002A" w14:textId="3B375F75"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rPr>
      </w:pPr>
      <w:r w:rsidRPr="00545573">
        <w:rPr>
          <w:rFonts w:ascii="Arial" w:eastAsia="Arial" w:hAnsi="Arial" w:cs="Arial"/>
          <w:sz w:val="24"/>
          <w:szCs w:val="24"/>
        </w:rPr>
        <w:t xml:space="preserve">If the Payment Index has not been published for the relevant month as required for this calculation then the last published value of the index available at the Adjustment Date shall be </w:t>
      </w:r>
      <w:r w:rsidR="00545573" w:rsidRPr="00545573">
        <w:rPr>
          <w:rFonts w:ascii="Arial" w:eastAsia="Arial" w:hAnsi="Arial" w:cs="Arial"/>
          <w:sz w:val="24"/>
          <w:szCs w:val="24"/>
        </w:rPr>
        <w:t>used.</w:t>
      </w:r>
    </w:p>
    <w:p w14:paraId="0000002B"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sidRPr="00545573">
        <w:rPr>
          <w:rFonts w:ascii="Arial" w:eastAsia="Arial" w:hAnsi="Arial" w:cs="Arial"/>
          <w:sz w:val="24"/>
          <w:szCs w:val="24"/>
        </w:rPr>
        <w:lastRenderedPageBreak/>
        <w:t xml:space="preserve">In the event that any changes occur to the basis of the CPI, or </w:t>
      </w:r>
      <w:r w:rsidRPr="00545573">
        <w:rPr>
          <w:rFonts w:ascii="Arial" w:eastAsia="Arial" w:hAnsi="Arial" w:cs="Arial"/>
          <w:sz w:val="24"/>
          <w:szCs w:val="24"/>
        </w:rPr>
        <w:t>it is no longer published, CCS and the Supplier shall agree a fair and reasonable adjustment to that index or, if appropriate, shall agree a revised formula that in either event will have substantially the same effect as that specified in this Framework Sc</w:t>
      </w:r>
      <w:r w:rsidRPr="00545573">
        <w:rPr>
          <w:rFonts w:ascii="Arial" w:eastAsia="Arial" w:hAnsi="Arial" w:cs="Arial"/>
          <w:sz w:val="24"/>
          <w:szCs w:val="24"/>
        </w:rPr>
        <w:t>hedule 3 - Framework Prices.</w:t>
      </w:r>
    </w:p>
    <w:p w14:paraId="0000002C"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sidRPr="00545573">
        <w:rPr>
          <w:rFonts w:ascii="Arial" w:eastAsia="Arial" w:hAnsi="Arial" w:cs="Arial"/>
          <w:sz w:val="24"/>
          <w:szCs w:val="24"/>
        </w:rPr>
        <w:t>Where CCS approves an increase then it will be implemented from the first (1st) Working Day following the relevant Review Date or such later date as CCS may determine at its sole discretion and Annex 1 shall be updated accordin</w:t>
      </w:r>
      <w:r w:rsidRPr="00545573">
        <w:rPr>
          <w:rFonts w:ascii="Arial" w:eastAsia="Arial" w:hAnsi="Arial" w:cs="Arial"/>
          <w:sz w:val="24"/>
          <w:szCs w:val="24"/>
        </w:rPr>
        <w:t>gly.</w:t>
      </w:r>
    </w:p>
    <w:p w14:paraId="0000002D" w14:textId="77777777" w:rsidR="00FC1688" w:rsidRPr="00545573" w:rsidRDefault="004C7D7D">
      <w:pPr>
        <w:numPr>
          <w:ilvl w:val="0"/>
          <w:numId w:val="1"/>
        </w:numPr>
        <w:pBdr>
          <w:top w:val="nil"/>
          <w:left w:val="nil"/>
          <w:bottom w:val="nil"/>
          <w:right w:val="nil"/>
          <w:between w:val="nil"/>
        </w:pBdr>
        <w:tabs>
          <w:tab w:val="left" w:pos="142"/>
        </w:tabs>
        <w:spacing w:before="120" w:after="240" w:line="240" w:lineRule="auto"/>
        <w:jc w:val="both"/>
        <w:rPr>
          <w:rFonts w:ascii="Arial" w:hAnsi="Arial" w:cs="Arial"/>
        </w:rPr>
      </w:pPr>
      <w:r w:rsidRPr="00545573">
        <w:rPr>
          <w:rFonts w:ascii="Arial" w:eastAsia="Arial" w:hAnsi="Arial" w:cs="Arial"/>
          <w:b/>
          <w:color w:val="000000"/>
          <w:sz w:val="24"/>
          <w:szCs w:val="24"/>
        </w:rPr>
        <w:t>Other events that allow the Supplier to change the Framework Prices</w:t>
      </w:r>
    </w:p>
    <w:p w14:paraId="0000002E"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545573">
        <w:rPr>
          <w:rFonts w:ascii="Arial" w:eastAsia="Arial" w:hAnsi="Arial" w:cs="Arial"/>
          <w:color w:val="000000"/>
          <w:sz w:val="24"/>
          <w:szCs w:val="24"/>
        </w:rPr>
        <w:t>The Framework Prices can also be varied (and Annex 1 will be updated accordingly) due to:</w:t>
      </w:r>
    </w:p>
    <w:p w14:paraId="0000002F"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a Specific Change in Law in accordance with Core Terms Clause 24;</w:t>
      </w:r>
    </w:p>
    <w:p w14:paraId="00000030"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 xml:space="preserve">a review in accordance with insurance requirements in Core Terms Clause 13; </w:t>
      </w:r>
    </w:p>
    <w:p w14:paraId="00000031"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a benchmarking review in accordance with Call Off Schedule 16 (Benchmarking)</w:t>
      </w:r>
    </w:p>
    <w:p w14:paraId="00000032"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a request from the Supplier, which it can make at any time, to decrease the Framework Prices; and</w:t>
      </w:r>
    </w:p>
    <w:p w14:paraId="00000033" w14:textId="77777777" w:rsidR="00FC1688" w:rsidRPr="00545573" w:rsidRDefault="004C7D7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545573">
        <w:rPr>
          <w:rFonts w:ascii="Arial" w:eastAsia="Arial" w:hAnsi="Arial" w:cs="Arial"/>
          <w:color w:val="000000"/>
          <w:sz w:val="24"/>
          <w:szCs w:val="24"/>
        </w:rPr>
        <w:t>changes to the Mandatory Wage in which event paragraph 7 shall apply.</w:t>
      </w:r>
    </w:p>
    <w:p w14:paraId="00000034" w14:textId="77777777" w:rsidR="00FC1688" w:rsidRPr="00545573" w:rsidRDefault="004C7D7D">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sidRPr="00545573">
        <w:rPr>
          <w:rFonts w:ascii="Arial" w:eastAsia="Arial" w:hAnsi="Arial" w:cs="Arial"/>
          <w:b/>
          <w:color w:val="000000"/>
          <w:sz w:val="24"/>
          <w:szCs w:val="24"/>
        </w:rPr>
        <w:t>Changes</w:t>
      </w:r>
      <w:r w:rsidRPr="00545573">
        <w:rPr>
          <w:rFonts w:ascii="Arial" w:eastAsia="Arial" w:hAnsi="Arial" w:cs="Arial"/>
          <w:b/>
          <w:sz w:val="24"/>
          <w:szCs w:val="24"/>
        </w:rPr>
        <w:t xml:space="preserve"> To Minimum/Living Wage</w:t>
      </w:r>
    </w:p>
    <w:p w14:paraId="00000035"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sidRPr="00545573">
        <w:rPr>
          <w:rFonts w:ascii="Arial" w:eastAsia="Arial" w:hAnsi="Arial" w:cs="Arial"/>
          <w:sz w:val="24"/>
          <w:szCs w:val="24"/>
        </w:rPr>
        <w:t>Notwithstanding Core Terms Clause 24.5 (Changing the Contract), where the Supplier can provide evidence that a percentage increase to the Mandatory Wage in</w:t>
      </w:r>
      <w:r w:rsidRPr="00545573">
        <w:rPr>
          <w:rFonts w:ascii="Arial" w:eastAsia="Arial" w:hAnsi="Arial" w:cs="Arial"/>
          <w:sz w:val="24"/>
          <w:szCs w:val="24"/>
        </w:rPr>
        <w:t xml:space="preserve"> a given period has exceeded any percentage increase in CPI under </w:t>
      </w:r>
      <w:r w:rsidRPr="00545573">
        <w:rPr>
          <w:rFonts w:ascii="Arial" w:eastAsia="Arial" w:hAnsi="Arial" w:cs="Arial"/>
          <w:sz w:val="24"/>
          <w:szCs w:val="24"/>
          <w:highlight w:val="white"/>
        </w:rPr>
        <w:t xml:space="preserve">Paragraph 5.5 </w:t>
      </w:r>
      <w:r w:rsidRPr="00545573">
        <w:rPr>
          <w:rFonts w:ascii="Arial" w:eastAsia="Arial" w:hAnsi="Arial" w:cs="Arial"/>
          <w:sz w:val="24"/>
          <w:szCs w:val="24"/>
        </w:rPr>
        <w:t>for the same period in, the Supplier may request an increase in the Framework Prices by using the process under Paragraph 5.</w:t>
      </w:r>
    </w:p>
    <w:p w14:paraId="00000036"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sidRPr="00545573">
        <w:rPr>
          <w:rFonts w:ascii="Arial" w:eastAsia="Arial" w:hAnsi="Arial" w:cs="Arial"/>
          <w:sz w:val="24"/>
          <w:szCs w:val="24"/>
        </w:rPr>
        <w:t>For the avoidance of doubt CCS is not required to a</w:t>
      </w:r>
      <w:r w:rsidRPr="00545573">
        <w:rPr>
          <w:rFonts w:ascii="Arial" w:eastAsia="Arial" w:hAnsi="Arial" w:cs="Arial"/>
          <w:sz w:val="24"/>
          <w:szCs w:val="24"/>
        </w:rPr>
        <w:t>ccept the request to adjust Framework Prices and must not accept any request that:</w:t>
      </w:r>
    </w:p>
    <w:p w14:paraId="00000037"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sidRPr="00545573">
        <w:rPr>
          <w:rFonts w:ascii="Arial" w:eastAsia="Arial" w:hAnsi="Arial" w:cs="Arial"/>
          <w:sz w:val="24"/>
          <w:szCs w:val="24"/>
        </w:rPr>
        <w:t>exceeds the difference between the CPI increase and the current Mandatory Wage rate increase for each member of the Supplier Personnel affected by the Mandatory Wage increas</w:t>
      </w:r>
      <w:r w:rsidRPr="00545573">
        <w:rPr>
          <w:rFonts w:ascii="Arial" w:eastAsia="Arial" w:hAnsi="Arial" w:cs="Arial"/>
          <w:sz w:val="24"/>
          <w:szCs w:val="24"/>
        </w:rPr>
        <w:t>e;</w:t>
      </w:r>
    </w:p>
    <w:p w14:paraId="00000038"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sidRPr="00545573">
        <w:rPr>
          <w:rFonts w:ascii="Arial" w:eastAsia="Arial" w:hAnsi="Arial" w:cs="Arial"/>
          <w:sz w:val="24"/>
          <w:szCs w:val="24"/>
        </w:rPr>
        <w:t xml:space="preserve">relate to Services that are not affected by the Mandatory Wage increase; and </w:t>
      </w:r>
    </w:p>
    <w:p w14:paraId="00000039"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sidRPr="00545573">
        <w:rPr>
          <w:rFonts w:ascii="Arial" w:eastAsia="Arial" w:hAnsi="Arial" w:cs="Arial"/>
          <w:sz w:val="24"/>
          <w:szCs w:val="24"/>
        </w:rPr>
        <w:t xml:space="preserve">that relates to Supplier Personnel on an hourly rate already in excess of the Mandatory Wage (whether or not to maintain differentials between the affected Supplier Personnel and higher paid Supplier Personnel). </w:t>
      </w:r>
    </w:p>
    <w:p w14:paraId="0000003A" w14:textId="77777777" w:rsidR="00FC1688" w:rsidRPr="00545573" w:rsidRDefault="004C7D7D">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sidRPr="00545573">
        <w:rPr>
          <w:rFonts w:ascii="Arial" w:eastAsia="Arial" w:hAnsi="Arial" w:cs="Arial"/>
          <w:b/>
          <w:sz w:val="24"/>
          <w:szCs w:val="24"/>
        </w:rPr>
        <w:t>Costs And Expenses</w:t>
      </w:r>
    </w:p>
    <w:p w14:paraId="0000003B"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bookmarkStart w:id="6" w:name="_heading=h.tyjcwt" w:colFirst="0" w:colLast="0"/>
      <w:bookmarkEnd w:id="6"/>
      <w:r w:rsidRPr="00545573">
        <w:rPr>
          <w:rFonts w:ascii="Arial" w:eastAsia="Arial" w:hAnsi="Arial" w:cs="Arial"/>
          <w:sz w:val="24"/>
          <w:szCs w:val="24"/>
        </w:rPr>
        <w:lastRenderedPageBreak/>
        <w:t xml:space="preserve">Except as expressly set </w:t>
      </w:r>
      <w:r w:rsidRPr="00545573">
        <w:rPr>
          <w:rFonts w:ascii="Arial" w:eastAsia="Arial" w:hAnsi="Arial" w:cs="Arial"/>
          <w:sz w:val="24"/>
          <w:szCs w:val="24"/>
        </w:rPr>
        <w:t>out as stated in Call-Off Schedule 5 (Pricing Details), the Framework Prices shall include all costs and expenses relating to the provision of Deliverables.  No further amounts shall be payable in respect of matters such as:</w:t>
      </w:r>
    </w:p>
    <w:p w14:paraId="0000003C"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hAnsi="Arial" w:cs="Arial"/>
          <w:sz w:val="24"/>
          <w:szCs w:val="24"/>
        </w:rPr>
      </w:pPr>
      <w:r w:rsidRPr="00545573">
        <w:rPr>
          <w:rFonts w:ascii="Arial" w:eastAsia="Arial" w:hAnsi="Arial" w:cs="Arial"/>
          <w:sz w:val="24"/>
          <w:szCs w:val="24"/>
        </w:rPr>
        <w:t>incidental expenses such as tra</w:t>
      </w:r>
      <w:r w:rsidRPr="00545573">
        <w:rPr>
          <w:rFonts w:ascii="Arial" w:eastAsia="Arial" w:hAnsi="Arial" w:cs="Arial"/>
          <w:sz w:val="24"/>
          <w:szCs w:val="24"/>
        </w:rPr>
        <w:t>vel, subsistence and lodging, document or report reproduction, shipping, desktop or office equipment costs, network or data interchange costs or other telecommunications charges; or</w:t>
      </w:r>
    </w:p>
    <w:p w14:paraId="0000003D" w14:textId="77777777" w:rsidR="00FC1688" w:rsidRPr="00545573" w:rsidRDefault="004C7D7D">
      <w:pPr>
        <w:numPr>
          <w:ilvl w:val="1"/>
          <w:numId w:val="1"/>
        </w:numPr>
        <w:pBdr>
          <w:top w:val="nil"/>
          <w:left w:val="nil"/>
          <w:bottom w:val="nil"/>
          <w:right w:val="nil"/>
          <w:between w:val="nil"/>
        </w:pBdr>
        <w:tabs>
          <w:tab w:val="left" w:pos="709"/>
        </w:tabs>
        <w:spacing w:before="120" w:after="120" w:line="240" w:lineRule="auto"/>
        <w:ind w:left="1134" w:hanging="504"/>
        <w:rPr>
          <w:rFonts w:ascii="Arial" w:hAnsi="Arial" w:cs="Arial"/>
          <w:sz w:val="24"/>
          <w:szCs w:val="24"/>
        </w:rPr>
      </w:pPr>
      <w:r w:rsidRPr="00545573">
        <w:rPr>
          <w:rFonts w:ascii="Arial" w:eastAsia="Arial" w:hAnsi="Arial" w:cs="Arial"/>
          <w:sz w:val="24"/>
          <w:szCs w:val="24"/>
        </w:rPr>
        <w:t>costs incurred prior to the commencement of any Call-Off Contract.</w:t>
      </w:r>
    </w:p>
    <w:p w14:paraId="0000003E" w14:textId="77777777" w:rsidR="00FC1688" w:rsidRPr="00545573" w:rsidRDefault="00FC1688">
      <w:pPr>
        <w:pBdr>
          <w:top w:val="nil"/>
          <w:left w:val="nil"/>
          <w:bottom w:val="nil"/>
          <w:right w:val="nil"/>
          <w:between w:val="nil"/>
        </w:pBdr>
        <w:tabs>
          <w:tab w:val="left" w:pos="709"/>
        </w:tabs>
        <w:spacing w:before="120" w:after="120" w:line="240" w:lineRule="auto"/>
        <w:ind w:left="1134"/>
        <w:rPr>
          <w:rFonts w:ascii="Arial" w:hAnsi="Arial" w:cs="Arial"/>
          <w:sz w:val="24"/>
          <w:szCs w:val="24"/>
        </w:rPr>
      </w:pPr>
    </w:p>
    <w:p w14:paraId="0000003F" w14:textId="77777777" w:rsidR="00FC1688" w:rsidRPr="00545573" w:rsidRDefault="00FC1688">
      <w:pPr>
        <w:rPr>
          <w:rFonts w:ascii="Arial" w:hAnsi="Arial" w:cs="Arial"/>
          <w:sz w:val="24"/>
          <w:szCs w:val="24"/>
        </w:rPr>
      </w:pPr>
    </w:p>
    <w:p w14:paraId="00000040" w14:textId="77777777" w:rsidR="00FC1688" w:rsidRPr="00545573" w:rsidRDefault="00FC1688">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41" w14:textId="77777777" w:rsidR="00FC1688" w:rsidRPr="00545573" w:rsidRDefault="00FC1688">
      <w:pPr>
        <w:pBdr>
          <w:top w:val="nil"/>
          <w:left w:val="nil"/>
          <w:bottom w:val="nil"/>
          <w:right w:val="nil"/>
          <w:between w:val="nil"/>
        </w:pBdr>
        <w:tabs>
          <w:tab w:val="left" w:pos="0"/>
        </w:tabs>
        <w:spacing w:before="240" w:after="240" w:line="240" w:lineRule="auto"/>
        <w:ind w:left="644" w:hanging="360"/>
        <w:jc w:val="both"/>
        <w:rPr>
          <w:rFonts w:ascii="Arial" w:eastAsia="Arial Bold" w:hAnsi="Arial" w:cs="Arial"/>
          <w:b/>
          <w:smallCaps/>
          <w:color w:val="000000"/>
          <w:highlight w:val="yellow"/>
        </w:rPr>
      </w:pPr>
    </w:p>
    <w:p w14:paraId="00000042" w14:textId="77777777" w:rsidR="00FC1688" w:rsidRPr="00545573" w:rsidRDefault="00FC1688">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43" w14:textId="77777777" w:rsidR="00FC1688" w:rsidRPr="00545573" w:rsidRDefault="004C7D7D">
      <w:pPr>
        <w:rPr>
          <w:rFonts w:ascii="Arial" w:eastAsia="Arial" w:hAnsi="Arial" w:cs="Arial"/>
          <w:b/>
          <w:sz w:val="36"/>
          <w:szCs w:val="36"/>
        </w:rPr>
      </w:pPr>
      <w:bookmarkStart w:id="7" w:name="_heading=h.1t3h5sf" w:colFirst="0" w:colLast="0"/>
      <w:bookmarkEnd w:id="7"/>
      <w:r w:rsidRPr="00545573">
        <w:rPr>
          <w:rFonts w:ascii="Arial" w:hAnsi="Arial" w:cs="Arial"/>
        </w:rPr>
        <w:br w:type="page"/>
      </w:r>
      <w:r w:rsidRPr="00545573">
        <w:rPr>
          <w:rFonts w:ascii="Arial" w:eastAsia="Arial" w:hAnsi="Arial" w:cs="Arial"/>
          <w:b/>
          <w:sz w:val="36"/>
          <w:szCs w:val="36"/>
        </w:rPr>
        <w:lastRenderedPageBreak/>
        <w:t>Annex 1: Rates and Prices</w:t>
      </w:r>
    </w:p>
    <w:p w14:paraId="00000044" w14:textId="77777777" w:rsidR="00FC1688" w:rsidRPr="00545573" w:rsidRDefault="004C7D7D">
      <w:pPr>
        <w:spacing w:before="240" w:after="240"/>
        <w:rPr>
          <w:rFonts w:ascii="Arial" w:eastAsia="Arial" w:hAnsi="Arial" w:cs="Arial"/>
          <w:b/>
          <w:sz w:val="24"/>
          <w:szCs w:val="24"/>
          <w:highlight w:val="yellow"/>
        </w:rPr>
      </w:pPr>
      <w:r w:rsidRPr="00545573">
        <w:rPr>
          <w:rFonts w:ascii="Arial" w:eastAsia="Arial" w:hAnsi="Arial" w:cs="Arial"/>
          <w:b/>
          <w:sz w:val="24"/>
          <w:szCs w:val="24"/>
          <w:highlight w:val="yellow"/>
        </w:rPr>
        <w:t>[Guidance Note: Place a copy of the Supplier’s response to relevant award</w:t>
      </w:r>
    </w:p>
    <w:p w14:paraId="00000045" w14:textId="77777777" w:rsidR="00FC1688" w:rsidRPr="00545573" w:rsidRDefault="004C7D7D">
      <w:pPr>
        <w:spacing w:before="240" w:after="240"/>
        <w:rPr>
          <w:rFonts w:ascii="Arial" w:eastAsia="Arial" w:hAnsi="Arial" w:cs="Arial"/>
          <w:b/>
          <w:sz w:val="24"/>
          <w:szCs w:val="24"/>
          <w:highlight w:val="yellow"/>
        </w:rPr>
        <w:sectPr w:rsidR="00FC1688" w:rsidRPr="00545573">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bookmarkStart w:id="8" w:name="_heading=h.fc9aac53do7k" w:colFirst="0" w:colLast="0"/>
      <w:bookmarkEnd w:id="8"/>
      <w:r w:rsidRPr="00545573">
        <w:rPr>
          <w:rFonts w:ascii="Arial" w:eastAsia="Arial" w:hAnsi="Arial" w:cs="Arial"/>
          <w:b/>
          <w:sz w:val="24"/>
          <w:szCs w:val="24"/>
          <w:highlight w:val="yellow"/>
        </w:rPr>
        <w:t>questionnaire pricing here once awarded.]</w:t>
      </w:r>
    </w:p>
    <w:p w14:paraId="00000046" w14:textId="77777777" w:rsidR="00FC1688" w:rsidRPr="00545573" w:rsidRDefault="00FC1688">
      <w:pPr>
        <w:rPr>
          <w:rFonts w:ascii="Arial" w:eastAsia="Arial" w:hAnsi="Arial" w:cs="Arial"/>
          <w:b/>
          <w:sz w:val="36"/>
          <w:szCs w:val="36"/>
        </w:rPr>
      </w:pPr>
    </w:p>
    <w:sectPr w:rsidR="00FC1688" w:rsidRPr="00545573">
      <w:pgSz w:w="16838" w:h="11906" w:orient="landscape"/>
      <w:pgMar w:top="1440" w:right="1888"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0541F" w14:textId="77777777" w:rsidR="004C7D7D" w:rsidRDefault="004C7D7D">
      <w:pPr>
        <w:spacing w:after="0" w:line="240" w:lineRule="auto"/>
      </w:pPr>
      <w:r>
        <w:separator/>
      </w:r>
    </w:p>
  </w:endnote>
  <w:endnote w:type="continuationSeparator" w:id="0">
    <w:p w14:paraId="1F15B31B" w14:textId="77777777" w:rsidR="004C7D7D" w:rsidRDefault="004C7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E" w14:textId="77777777" w:rsidR="00FC1688" w:rsidRDefault="004C7D7D" w:rsidP="0054557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0000004F" w14:textId="050361DE" w:rsidR="00FC1688" w:rsidRDefault="004C7D7D" w:rsidP="0054557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45573">
      <w:rPr>
        <w:rFonts w:ascii="Arial" w:eastAsia="Arial" w:hAnsi="Arial" w:cs="Arial"/>
        <w:color w:val="000000"/>
        <w:sz w:val="20"/>
        <w:szCs w:val="20"/>
      </w:rPr>
      <w:fldChar w:fldCharType="separate"/>
    </w:r>
    <w:r w:rsidR="0054557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50" w14:textId="77777777" w:rsidR="00FC1688" w:rsidRDefault="004C7D7D" w:rsidP="00545573">
    <w:pPr>
      <w:tabs>
        <w:tab w:val="left" w:pos="720"/>
        <w:tab w:val="left" w:pos="1440"/>
        <w:tab w:val="left" w:pos="2160"/>
        <w:tab w:val="left" w:pos="2880"/>
        <w:tab w:val="left" w:pos="3600"/>
        <w:tab w:val="left" w:pos="4320"/>
        <w:tab w:val="left" w:pos="4905"/>
      </w:tabs>
      <w:spacing w:after="0"/>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B" w14:textId="77777777" w:rsidR="00FC1688" w:rsidRDefault="004C7D7D">
    <w:pPr>
      <w:tabs>
        <w:tab w:val="center" w:pos="4513"/>
        <w:tab w:val="right" w:pos="9026"/>
      </w:tabs>
      <w:spacing w:after="0"/>
    </w:pPr>
    <w:r>
      <w:t>Framework Ref: RM</w:t>
    </w:r>
    <w:r>
      <w:tab/>
      <w:t xml:space="preserve">                                           </w:t>
    </w:r>
  </w:p>
  <w:p w14:paraId="0000004C" w14:textId="77777777" w:rsidR="00FC1688" w:rsidRDefault="004C7D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D" w14:textId="77777777" w:rsidR="00FC1688" w:rsidRDefault="004C7D7D">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50E27" w14:textId="77777777" w:rsidR="004C7D7D" w:rsidRDefault="004C7D7D">
      <w:pPr>
        <w:spacing w:after="0" w:line="240" w:lineRule="auto"/>
      </w:pPr>
      <w:r>
        <w:separator/>
      </w:r>
    </w:p>
  </w:footnote>
  <w:footnote w:type="continuationSeparator" w:id="0">
    <w:p w14:paraId="3793DD46" w14:textId="77777777" w:rsidR="004C7D7D" w:rsidRDefault="004C7D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9" w14:textId="77777777" w:rsidR="00FC1688" w:rsidRDefault="004C7D7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A" w14:textId="77777777" w:rsidR="00FC1688" w:rsidRDefault="004C7D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7" w14:textId="77777777" w:rsidR="00FC1688" w:rsidRDefault="004C7D7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8" w14:textId="77777777" w:rsidR="00FC1688" w:rsidRDefault="004C7D7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B6EF1"/>
    <w:multiLevelType w:val="multilevel"/>
    <w:tmpl w:val="E95C26A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2A80632"/>
    <w:multiLevelType w:val="multilevel"/>
    <w:tmpl w:val="DA22E11A"/>
    <w:lvl w:ilvl="0">
      <w:start w:val="1"/>
      <w:numFmt w:val="decimal"/>
      <w:pStyle w:val="GPSL1CLAUSEHEADING"/>
      <w:lvlText w:val="%1."/>
      <w:lvlJc w:val="left"/>
      <w:pPr>
        <w:ind w:left="360" w:hanging="360"/>
      </w:pPr>
      <w:rPr>
        <w:rFonts w:ascii="Arial" w:eastAsia="Arial" w:hAnsi="Arial" w:cs="Arial"/>
        <w:b/>
        <w:smallCaps w:val="0"/>
        <w:strike w:val="0"/>
        <w:color w:val="000000"/>
        <w:sz w:val="24"/>
        <w:szCs w:val="24"/>
        <w:u w:val="none"/>
        <w:vertAlign w:val="baseline"/>
      </w:rPr>
    </w:lvl>
    <w:lvl w:ilvl="1">
      <w:start w:val="1"/>
      <w:numFmt w:val="decimal"/>
      <w:pStyle w:val="GPSL2numberedclause"/>
      <w:lvlText w:val="%1.%2"/>
      <w:lvlJc w:val="left"/>
      <w:pPr>
        <w:ind w:left="1777"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688"/>
    <w:rsid w:val="004C7D7D"/>
    <w:rsid w:val="00545573"/>
    <w:rsid w:val="00FC16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135B49-9475-442E-AF99-0C2334FC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customStyle="1" w:styleId="Table-Text">
    <w:name w:val="Table - Text"/>
    <w:basedOn w:val="Normal"/>
    <w:qFormat/>
    <w:rsid w:val="00224412"/>
    <w:pPr>
      <w:adjustRightInd w:val="0"/>
      <w:spacing w:before="120" w:after="120" w:line="240" w:lineRule="auto"/>
    </w:pPr>
    <w:rPr>
      <w:rFonts w:ascii="Times New Roman" w:eastAsia="STZhongsong" w:hAnsi="Times New Roman" w:cs="Times New Roman"/>
      <w:szCs w:val="20"/>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dRxzySGa9LtHcfkjQbqTJsRhrQ==">AMUW2mWcWzUXULG3ADpp+M8uue+ZYdytxCf+/436OlnP5ofQ0fmsTa1UJuDLeJk26NWyimFf59xux4cK++2hQBv+oyFbRiIoCwr9rOeGWV6M5mdwqZCcQWEDFYmbcXvqtj9THb7GAP5sZhOfONNbij0DS0cmipNcZmEYmMup/YnzGTA5F4U6VAfyJOnbMoGYeb/axhF51xvrZ1PnUTJ0JPf/JYXcT7NgjmtT0nTEiOWUoe7C62qAnkg=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Woods</cp:lastModifiedBy>
  <cp:revision>2</cp:revision>
  <dcterms:created xsi:type="dcterms:W3CDTF">2021-10-26T11:16:00Z</dcterms:created>
  <dcterms:modified xsi:type="dcterms:W3CDTF">2021-10-26T11:16:00Z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